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F0" w:rsidRPr="005D6E1A" w:rsidRDefault="005B1BF0" w:rsidP="005B1BF0">
      <w:pPr>
        <w:spacing w:line="520" w:lineRule="exact"/>
        <w:jc w:val="center"/>
        <w:rPr>
          <w:rFonts w:ascii="宋体" w:hAnsi="宋体"/>
          <w:b/>
          <w:sz w:val="30"/>
          <w:szCs w:val="30"/>
        </w:rPr>
      </w:pPr>
      <w:r w:rsidRPr="005D6E1A">
        <w:rPr>
          <w:rFonts w:ascii="宋体" w:hAnsi="宋体" w:hint="eastAsia"/>
          <w:b/>
          <w:sz w:val="30"/>
          <w:szCs w:val="30"/>
        </w:rPr>
        <w:t>中国古文献学奖学金评奖条例</w:t>
      </w:r>
    </w:p>
    <w:p w:rsidR="005B1BF0" w:rsidRPr="005D6E1A" w:rsidRDefault="005B1BF0" w:rsidP="005B1BF0">
      <w:pPr>
        <w:numPr>
          <w:ilvl w:val="0"/>
          <w:numId w:val="1"/>
        </w:numPr>
        <w:spacing w:line="360" w:lineRule="exact"/>
        <w:rPr>
          <w:rFonts w:ascii="宋体" w:hAnsi="宋体"/>
          <w:szCs w:val="21"/>
        </w:rPr>
      </w:pPr>
      <w:r w:rsidRPr="005D6E1A">
        <w:rPr>
          <w:rFonts w:ascii="宋体" w:hAnsi="宋体" w:hint="eastAsia"/>
          <w:szCs w:val="21"/>
        </w:rPr>
        <w:t>全国高等院校古籍整理研究工作委员会（以下简称古委会）为弘扬中华优秀文化，鼓励有志青年致力于中国古文献学学习与研究，培养古籍整理研究后继人才，特设立“中国古文献学奖学金”。</w:t>
      </w:r>
    </w:p>
    <w:p w:rsidR="005B1BF0" w:rsidRPr="005D6E1A" w:rsidRDefault="005B1BF0" w:rsidP="005B1BF0">
      <w:pPr>
        <w:numPr>
          <w:ilvl w:val="0"/>
          <w:numId w:val="1"/>
        </w:numPr>
        <w:spacing w:line="360" w:lineRule="exact"/>
        <w:rPr>
          <w:rFonts w:ascii="宋体" w:hAnsi="宋体"/>
          <w:szCs w:val="21"/>
        </w:rPr>
      </w:pPr>
      <w:r w:rsidRPr="005D6E1A">
        <w:rPr>
          <w:rFonts w:ascii="宋体" w:hAnsi="宋体" w:hint="eastAsia"/>
          <w:szCs w:val="21"/>
        </w:rPr>
        <w:t>“中国古文献学奖学金”暂定在古委会直接联系的教学科研单位内评选，凡在上述单位学习的二、三年级博士生、硕士生（包括在职博士生、硕士生）及古委会直接联系的本科教学单位二、三、四年级本科生，均有资格申请。个</w:t>
      </w:r>
      <w:smartTag w:uri="urn:schemas-microsoft-com:office:smarttags" w:element="PersonName">
        <w:smartTagPr>
          <w:attr w:name="ProductID" w:val="别院校"/>
        </w:smartTagPr>
        <w:r w:rsidRPr="005D6E1A">
          <w:rPr>
            <w:rFonts w:ascii="宋体" w:hAnsi="宋体" w:hint="eastAsia"/>
            <w:szCs w:val="21"/>
          </w:rPr>
          <w:t>别院校</w:t>
        </w:r>
      </w:smartTag>
      <w:r w:rsidRPr="005D6E1A">
        <w:rPr>
          <w:rFonts w:ascii="宋体" w:hAnsi="宋体" w:hint="eastAsia"/>
          <w:szCs w:val="21"/>
        </w:rPr>
        <w:t>博士生学制为四年，在正常学制期限之内，若申报者已获奖一次，则第二次评选时主要考虑其获奖之后的成果，之前的成果作为参考。申报者通过各教学科研单位向古委会秘书处递送申报材料，所长（专业或系主任）负责审核学生申报成果的真实性、原创性并签署意见，并由所在院系盖章（直属于学校的研究所须加盖学校主管部门公章）。</w:t>
      </w:r>
    </w:p>
    <w:p w:rsidR="005B1BF0" w:rsidRPr="005D6E1A" w:rsidRDefault="005B1BF0" w:rsidP="005B1BF0">
      <w:pPr>
        <w:numPr>
          <w:ilvl w:val="0"/>
          <w:numId w:val="1"/>
        </w:numPr>
        <w:spacing w:line="360" w:lineRule="exact"/>
        <w:rPr>
          <w:rFonts w:ascii="宋体" w:hAnsi="宋体"/>
          <w:szCs w:val="21"/>
        </w:rPr>
      </w:pPr>
      <w:r w:rsidRPr="005D6E1A">
        <w:rPr>
          <w:rFonts w:ascii="宋体" w:hAnsi="宋体" w:hint="eastAsia"/>
          <w:szCs w:val="21"/>
        </w:rPr>
        <w:t>作为中国古文献学的专业奖学金，应限定在各专业（系或研究所）古典文献学或历史文献学的硕士点、博士点。但考虑到目前各研究所的实际情况，有的所兼有古典文献学和历史文献学两个学位点，有的所仍然仅有古代文学、中国古代史或汉语言文字学学位点。因此，目前的评奖将申报范围适当放宽，但申报成果必须是有关古籍整理研究或古文献学研究的。</w:t>
      </w:r>
    </w:p>
    <w:p w:rsidR="005B1BF0" w:rsidRPr="005D6E1A" w:rsidRDefault="005B1BF0" w:rsidP="005B1BF0">
      <w:pPr>
        <w:numPr>
          <w:ilvl w:val="0"/>
          <w:numId w:val="1"/>
        </w:numPr>
        <w:spacing w:line="360" w:lineRule="exact"/>
        <w:rPr>
          <w:rFonts w:ascii="宋体" w:hAnsi="宋体"/>
          <w:szCs w:val="21"/>
        </w:rPr>
      </w:pPr>
      <w:r w:rsidRPr="005D6E1A">
        <w:rPr>
          <w:rFonts w:ascii="宋体" w:hAnsi="宋体" w:hint="eastAsia"/>
          <w:szCs w:val="21"/>
        </w:rPr>
        <w:t>申请“中国古文献学奖学金”者，应热爱社会主义祖国，拥护中国共产党的领导，遵纪守法，有志于古籍整理研究事业，品学兼优。博士生应有在学习期间正式发表的学术论文或著作，硕士生应有在学习期间正式发表的学术论文或已经完成尚未发表的论文，本科生各科学习成绩平均应在八十分以上。研究生只限提供代表作三部（篇），另附论著目录；本科生有意申报一等奖者，须提交至少一篇论文（未发表亦可）。成果可提供复印件。</w:t>
      </w:r>
    </w:p>
    <w:p w:rsidR="005B1BF0" w:rsidRPr="005D6E1A" w:rsidRDefault="005B1BF0" w:rsidP="005B1BF0">
      <w:pPr>
        <w:numPr>
          <w:ilvl w:val="0"/>
          <w:numId w:val="1"/>
        </w:numPr>
        <w:spacing w:line="360" w:lineRule="exact"/>
        <w:rPr>
          <w:rFonts w:ascii="宋体" w:hAnsi="宋体"/>
          <w:szCs w:val="21"/>
        </w:rPr>
      </w:pPr>
      <w:r w:rsidRPr="005D6E1A">
        <w:rPr>
          <w:rFonts w:ascii="宋体" w:hAnsi="宋体" w:hint="eastAsia"/>
          <w:szCs w:val="21"/>
        </w:rPr>
        <w:t>“中国古文献学奖学金”博士生、硕士生、本科生各设三个奖级，博士生一等奖零至</w:t>
      </w:r>
      <w:r w:rsidR="009A56B4">
        <w:rPr>
          <w:rFonts w:ascii="宋体" w:hAnsi="宋体" w:hint="eastAsia"/>
          <w:szCs w:val="21"/>
        </w:rPr>
        <w:t>二人，二等奖四至六</w:t>
      </w:r>
      <w:r w:rsidRPr="005D6E1A">
        <w:rPr>
          <w:rFonts w:ascii="宋体" w:hAnsi="宋体" w:hint="eastAsia"/>
          <w:szCs w:val="21"/>
        </w:rPr>
        <w:t>人，三等奖七至九人，奖金额分别为：</w:t>
      </w:r>
      <w:r w:rsidR="003D7EAE">
        <w:rPr>
          <w:rFonts w:ascii="宋体" w:hAnsi="宋体" w:hint="eastAsia"/>
          <w:szCs w:val="21"/>
        </w:rPr>
        <w:t>五</w:t>
      </w:r>
      <w:r w:rsidRPr="005D6E1A">
        <w:rPr>
          <w:rFonts w:ascii="宋体" w:hAnsi="宋体" w:hint="eastAsia"/>
          <w:szCs w:val="21"/>
        </w:rPr>
        <w:t>千元、</w:t>
      </w:r>
      <w:r w:rsidR="003D7EAE">
        <w:rPr>
          <w:rFonts w:ascii="宋体" w:hAnsi="宋体" w:hint="eastAsia"/>
          <w:szCs w:val="21"/>
        </w:rPr>
        <w:t>四</w:t>
      </w:r>
      <w:r w:rsidRPr="005D6E1A">
        <w:rPr>
          <w:rFonts w:ascii="宋体" w:hAnsi="宋体" w:hint="eastAsia"/>
          <w:szCs w:val="21"/>
        </w:rPr>
        <w:t>千元、</w:t>
      </w:r>
      <w:r w:rsidR="003D7EAE">
        <w:rPr>
          <w:rFonts w:ascii="宋体" w:hAnsi="宋体" w:hint="eastAsia"/>
          <w:szCs w:val="21"/>
        </w:rPr>
        <w:t>三千</w:t>
      </w:r>
      <w:r w:rsidR="009A56B4">
        <w:rPr>
          <w:rFonts w:ascii="宋体" w:hAnsi="宋体" w:hint="eastAsia"/>
          <w:szCs w:val="21"/>
        </w:rPr>
        <w:t>元；硕士生一等奖零至二人，二等奖四至六</w:t>
      </w:r>
      <w:r w:rsidRPr="005D6E1A">
        <w:rPr>
          <w:rFonts w:ascii="宋体" w:hAnsi="宋体" w:hint="eastAsia"/>
          <w:szCs w:val="21"/>
        </w:rPr>
        <w:t>人，三等奖七至九人，奖金额分别为</w:t>
      </w:r>
      <w:r w:rsidR="00FD3985">
        <w:rPr>
          <w:rFonts w:ascii="宋体" w:hAnsi="宋体" w:hint="eastAsia"/>
          <w:szCs w:val="21"/>
        </w:rPr>
        <w:t>：</w:t>
      </w:r>
      <w:r w:rsidR="003D7EAE">
        <w:rPr>
          <w:rFonts w:ascii="宋体" w:hAnsi="宋体" w:hint="eastAsia"/>
          <w:szCs w:val="21"/>
        </w:rPr>
        <w:t>四</w:t>
      </w:r>
      <w:r w:rsidR="00FD3985">
        <w:rPr>
          <w:rFonts w:ascii="宋体" w:hAnsi="宋体" w:hint="eastAsia"/>
          <w:szCs w:val="21"/>
        </w:rPr>
        <w:t>千元、</w:t>
      </w:r>
      <w:r w:rsidR="003D7EAE">
        <w:rPr>
          <w:rFonts w:ascii="宋体" w:hAnsi="宋体" w:hint="eastAsia"/>
          <w:szCs w:val="21"/>
        </w:rPr>
        <w:t>三千</w:t>
      </w:r>
      <w:r w:rsidR="00FD3985">
        <w:rPr>
          <w:rFonts w:ascii="宋体" w:hAnsi="宋体" w:hint="eastAsia"/>
          <w:szCs w:val="21"/>
        </w:rPr>
        <w:t>元、</w:t>
      </w:r>
      <w:r w:rsidR="003D7EAE">
        <w:rPr>
          <w:rFonts w:ascii="宋体" w:hAnsi="宋体" w:hint="eastAsia"/>
          <w:szCs w:val="21"/>
        </w:rPr>
        <w:t>二</w:t>
      </w:r>
      <w:r w:rsidR="00FD3985">
        <w:rPr>
          <w:rFonts w:ascii="宋体" w:hAnsi="宋体" w:hint="eastAsia"/>
          <w:szCs w:val="21"/>
        </w:rPr>
        <w:t>千元；本科生一等奖零至二人，二等奖六至八人，三等奖十</w:t>
      </w:r>
      <w:r w:rsidRPr="005D6E1A">
        <w:rPr>
          <w:rFonts w:ascii="宋体" w:hAnsi="宋体" w:hint="eastAsia"/>
          <w:szCs w:val="21"/>
        </w:rPr>
        <w:t>至十</w:t>
      </w:r>
      <w:r w:rsidR="00FD3985">
        <w:rPr>
          <w:rFonts w:ascii="宋体" w:hAnsi="宋体" w:hint="eastAsia"/>
          <w:szCs w:val="21"/>
        </w:rPr>
        <w:t>二</w:t>
      </w:r>
      <w:r w:rsidRPr="005D6E1A">
        <w:rPr>
          <w:rFonts w:ascii="宋体" w:hAnsi="宋体" w:hint="eastAsia"/>
          <w:szCs w:val="21"/>
        </w:rPr>
        <w:t>人，奖金额分别为：</w:t>
      </w:r>
      <w:r w:rsidR="003D7EAE">
        <w:rPr>
          <w:rFonts w:ascii="宋体" w:hAnsi="宋体" w:hint="eastAsia"/>
          <w:szCs w:val="21"/>
        </w:rPr>
        <w:t>三</w:t>
      </w:r>
      <w:r w:rsidRPr="005D6E1A">
        <w:rPr>
          <w:rFonts w:ascii="宋体" w:hAnsi="宋体" w:hint="eastAsia"/>
          <w:szCs w:val="21"/>
        </w:rPr>
        <w:t>千元、</w:t>
      </w:r>
      <w:r w:rsidR="003D7EAE">
        <w:rPr>
          <w:rFonts w:ascii="宋体" w:hAnsi="宋体" w:hint="eastAsia"/>
          <w:szCs w:val="21"/>
        </w:rPr>
        <w:t>二</w:t>
      </w:r>
      <w:r w:rsidRPr="005D6E1A">
        <w:rPr>
          <w:rFonts w:ascii="宋体" w:hAnsi="宋体" w:hint="eastAsia"/>
          <w:szCs w:val="21"/>
        </w:rPr>
        <w:t>千</w:t>
      </w:r>
      <w:r w:rsidR="003D7EAE">
        <w:rPr>
          <w:rFonts w:ascii="宋体" w:hAnsi="宋体" w:hint="eastAsia"/>
          <w:szCs w:val="21"/>
        </w:rPr>
        <w:t>五</w:t>
      </w:r>
      <w:r w:rsidRPr="005D6E1A">
        <w:rPr>
          <w:rFonts w:ascii="宋体" w:hAnsi="宋体" w:hint="eastAsia"/>
          <w:szCs w:val="21"/>
        </w:rPr>
        <w:t>百元、</w:t>
      </w:r>
      <w:r w:rsidR="003D7EAE">
        <w:rPr>
          <w:rFonts w:ascii="宋体" w:hAnsi="宋体" w:hint="eastAsia"/>
          <w:szCs w:val="21"/>
        </w:rPr>
        <w:t>二</w:t>
      </w:r>
      <w:r w:rsidRPr="005D6E1A">
        <w:rPr>
          <w:rFonts w:ascii="宋体" w:hAnsi="宋体" w:hint="eastAsia"/>
          <w:szCs w:val="21"/>
        </w:rPr>
        <w:t>千元。</w:t>
      </w:r>
    </w:p>
    <w:p w:rsidR="005B1BF0" w:rsidRPr="005D6E1A" w:rsidRDefault="005B1BF0" w:rsidP="005B1BF0">
      <w:pPr>
        <w:numPr>
          <w:ilvl w:val="0"/>
          <w:numId w:val="1"/>
        </w:numPr>
        <w:spacing w:line="360" w:lineRule="exact"/>
        <w:rPr>
          <w:rFonts w:ascii="宋体" w:hAnsi="宋体"/>
          <w:szCs w:val="21"/>
        </w:rPr>
      </w:pPr>
      <w:r w:rsidRPr="005D6E1A">
        <w:rPr>
          <w:rFonts w:ascii="宋体" w:hAnsi="宋体" w:hint="eastAsia"/>
          <w:szCs w:val="21"/>
        </w:rPr>
        <w:t>“中国古文献学奖学金”每两年评选一次，届时，上述各单位可分别从有资格</w:t>
      </w:r>
      <w:r>
        <w:rPr>
          <w:rFonts w:ascii="宋体" w:hAnsi="宋体" w:hint="eastAsia"/>
          <w:szCs w:val="21"/>
        </w:rPr>
        <w:t>参加评奖的博士生、硕士生、本科生中推荐候选人，每单位推荐的</w:t>
      </w:r>
      <w:r w:rsidRPr="005D6E1A">
        <w:rPr>
          <w:rFonts w:ascii="宋体" w:hAnsi="宋体" w:hint="eastAsia"/>
          <w:szCs w:val="21"/>
        </w:rPr>
        <w:t>博士生、硕士生</w:t>
      </w:r>
      <w:r w:rsidR="00994714">
        <w:rPr>
          <w:rFonts w:ascii="宋体" w:hAnsi="宋体" w:hint="eastAsia"/>
          <w:szCs w:val="21"/>
        </w:rPr>
        <w:t>分别</w:t>
      </w:r>
      <w:r>
        <w:rPr>
          <w:rFonts w:ascii="宋体" w:hAnsi="宋体" w:hint="eastAsia"/>
          <w:szCs w:val="21"/>
        </w:rPr>
        <w:t>不超过三</w:t>
      </w:r>
      <w:r w:rsidRPr="005D6E1A">
        <w:rPr>
          <w:rFonts w:ascii="宋体" w:hAnsi="宋体" w:hint="eastAsia"/>
          <w:szCs w:val="21"/>
        </w:rPr>
        <w:t>人，本科生不超过十人。研究生人数不足三人的单位，可推荐一人。古委会设立“中国古文献学奖学金评审委员会”，负责审读申报材料，全面公正地评议，用无记名投票方式，分别评选出博士生、硕士生、本科生各奖级的获奖者。获奖者的得票数须超过到会评委的半数。</w:t>
      </w:r>
    </w:p>
    <w:p w:rsidR="005B1BF0" w:rsidRPr="005D6E1A" w:rsidRDefault="005B1BF0" w:rsidP="005B1BF0">
      <w:pPr>
        <w:numPr>
          <w:ilvl w:val="0"/>
          <w:numId w:val="1"/>
        </w:numPr>
        <w:spacing w:line="360" w:lineRule="exact"/>
        <w:rPr>
          <w:rFonts w:ascii="宋体" w:hAnsi="宋体"/>
          <w:szCs w:val="21"/>
        </w:rPr>
      </w:pPr>
      <w:r w:rsidRPr="005D6E1A">
        <w:rPr>
          <w:rFonts w:ascii="宋体" w:hAnsi="宋体" w:hint="eastAsia"/>
          <w:szCs w:val="21"/>
        </w:rPr>
        <w:t>获奖名单经“中国古文献学奖学金评审委员会”召集人及古委会秘书长签署意见，报古委会主任批准生效，在《高校古籍工作通报》及古委会网站上公布。奖状和奖金发至各学校。</w:t>
      </w:r>
    </w:p>
    <w:p w:rsidR="005B1BF0" w:rsidRDefault="005B1BF0" w:rsidP="005B1BF0">
      <w:pPr>
        <w:numPr>
          <w:ilvl w:val="0"/>
          <w:numId w:val="1"/>
        </w:numPr>
        <w:spacing w:line="360" w:lineRule="exact"/>
        <w:rPr>
          <w:rFonts w:ascii="宋体" w:hAnsi="宋体"/>
          <w:szCs w:val="21"/>
        </w:rPr>
      </w:pPr>
      <w:r w:rsidRPr="005D6E1A">
        <w:rPr>
          <w:rFonts w:ascii="宋体" w:hAnsi="宋体" w:hint="eastAsia"/>
          <w:szCs w:val="21"/>
        </w:rPr>
        <w:t>本条例的解释权在古委会秘书处。</w:t>
      </w:r>
    </w:p>
    <w:p w:rsidR="00776A38" w:rsidRDefault="00776A38" w:rsidP="00776A38">
      <w:pPr>
        <w:spacing w:line="360" w:lineRule="exact"/>
        <w:ind w:left="405"/>
        <w:rPr>
          <w:rFonts w:ascii="宋体" w:hAnsi="宋体"/>
          <w:szCs w:val="21"/>
        </w:rPr>
      </w:pPr>
    </w:p>
    <w:p w:rsidR="00776A38" w:rsidRDefault="00776A38" w:rsidP="00776A38">
      <w:pPr>
        <w:spacing w:line="360" w:lineRule="exact"/>
        <w:ind w:left="405"/>
        <w:rPr>
          <w:rFonts w:ascii="宋体" w:hAnsi="宋体"/>
          <w:szCs w:val="21"/>
        </w:rPr>
      </w:pPr>
      <w:r>
        <w:rPr>
          <w:rFonts w:ascii="宋体" w:hAnsi="宋体" w:hint="eastAsia"/>
          <w:szCs w:val="21"/>
        </w:rPr>
        <w:lastRenderedPageBreak/>
        <w:t>本科</w:t>
      </w:r>
      <w:r>
        <w:rPr>
          <w:rFonts w:ascii="宋体" w:hAnsi="宋体"/>
          <w:szCs w:val="21"/>
        </w:rPr>
        <w:t>生名額增加一人</w:t>
      </w:r>
    </w:p>
    <w:p w:rsidR="00776A38" w:rsidRPr="005D6E1A" w:rsidRDefault="00776A38" w:rsidP="00776A38">
      <w:pPr>
        <w:spacing w:line="360" w:lineRule="exact"/>
        <w:ind w:left="405"/>
        <w:rPr>
          <w:rFonts w:ascii="宋体" w:hAnsi="宋体" w:hint="eastAsia"/>
          <w:szCs w:val="21"/>
        </w:rPr>
      </w:pPr>
      <w:r>
        <w:rPr>
          <w:rFonts w:ascii="宋体" w:hAnsi="宋体" w:hint="eastAsia"/>
          <w:szCs w:val="21"/>
        </w:rPr>
        <w:t>學習</w:t>
      </w:r>
      <w:r>
        <w:rPr>
          <w:rFonts w:ascii="宋体" w:hAnsi="宋体"/>
          <w:szCs w:val="21"/>
        </w:rPr>
        <w:t>期間</w:t>
      </w:r>
      <w:r>
        <w:rPr>
          <w:rFonts w:ascii="宋体" w:hAnsi="宋体" w:hint="eastAsia"/>
          <w:szCs w:val="21"/>
        </w:rPr>
        <w:t>的</w:t>
      </w:r>
      <w:r>
        <w:rPr>
          <w:rFonts w:ascii="宋体" w:hAnsi="宋体"/>
          <w:szCs w:val="21"/>
        </w:rPr>
        <w:t>成果</w:t>
      </w:r>
      <w:bookmarkStart w:id="0" w:name="_GoBack"/>
      <w:bookmarkEnd w:id="0"/>
      <w:r>
        <w:rPr>
          <w:rFonts w:ascii="宋体" w:hAnsi="宋体" w:hint="eastAsia"/>
          <w:szCs w:val="21"/>
        </w:rPr>
        <w:t>可</w:t>
      </w:r>
      <w:r>
        <w:rPr>
          <w:rFonts w:ascii="宋体" w:hAnsi="宋体"/>
          <w:szCs w:val="21"/>
        </w:rPr>
        <w:t>以包括</w:t>
      </w:r>
      <w:r>
        <w:rPr>
          <w:rFonts w:ascii="宋体" w:hAnsi="宋体" w:hint="eastAsia"/>
          <w:szCs w:val="21"/>
        </w:rPr>
        <w:t>在</w:t>
      </w:r>
      <w:r>
        <w:rPr>
          <w:rFonts w:ascii="宋体" w:hAnsi="宋体"/>
          <w:szCs w:val="21"/>
        </w:rPr>
        <w:t>前一生別在讀期間發表但</w:t>
      </w:r>
      <w:r>
        <w:rPr>
          <w:rFonts w:ascii="宋体" w:hAnsi="宋体" w:hint="eastAsia"/>
          <w:szCs w:val="21"/>
        </w:rPr>
        <w:t>並</w:t>
      </w:r>
      <w:r>
        <w:rPr>
          <w:rFonts w:ascii="宋体" w:hAnsi="宋体"/>
          <w:szCs w:val="21"/>
        </w:rPr>
        <w:t>未用以</w:t>
      </w:r>
      <w:r>
        <w:rPr>
          <w:rFonts w:ascii="宋体" w:hAnsi="宋体" w:hint="eastAsia"/>
          <w:szCs w:val="21"/>
        </w:rPr>
        <w:t>參評</w:t>
      </w:r>
      <w:r>
        <w:rPr>
          <w:rFonts w:ascii="宋体" w:hAnsi="宋体"/>
          <w:szCs w:val="21"/>
        </w:rPr>
        <w:t>前一生別中國古文獻學獎學金的論著</w:t>
      </w:r>
    </w:p>
    <w:p w:rsidR="00D70773" w:rsidRPr="005B1BF0" w:rsidRDefault="00D70773"/>
    <w:sectPr w:rsidR="00D70773" w:rsidRPr="005B1BF0" w:rsidSect="00BB652D">
      <w:pgSz w:w="11907" w:h="16840"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01" w:rsidRDefault="00AB4D01" w:rsidP="00FD3985">
      <w:r>
        <w:separator/>
      </w:r>
    </w:p>
  </w:endnote>
  <w:endnote w:type="continuationSeparator" w:id="0">
    <w:p w:rsidR="00AB4D01" w:rsidRDefault="00AB4D01" w:rsidP="00FD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01" w:rsidRDefault="00AB4D01" w:rsidP="00FD3985">
      <w:r>
        <w:separator/>
      </w:r>
    </w:p>
  </w:footnote>
  <w:footnote w:type="continuationSeparator" w:id="0">
    <w:p w:rsidR="00AB4D01" w:rsidRDefault="00AB4D01" w:rsidP="00FD3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446E5"/>
    <w:multiLevelType w:val="hybridMultilevel"/>
    <w:tmpl w:val="E4369EC2"/>
    <w:lvl w:ilvl="0" w:tplc="D3AC2850">
      <w:start w:val="1"/>
      <w:numFmt w:val="japaneseCounting"/>
      <w:lvlText w:val="%1、"/>
      <w:lvlJc w:val="left"/>
      <w:pPr>
        <w:tabs>
          <w:tab w:val="num" w:pos="405"/>
        </w:tabs>
        <w:ind w:left="405" w:hanging="40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F0"/>
    <w:rsid w:val="002A4BBC"/>
    <w:rsid w:val="003D7EAE"/>
    <w:rsid w:val="005B1BF0"/>
    <w:rsid w:val="00776A38"/>
    <w:rsid w:val="00994714"/>
    <w:rsid w:val="009A56B4"/>
    <w:rsid w:val="00A55336"/>
    <w:rsid w:val="00AB4D01"/>
    <w:rsid w:val="00D70773"/>
    <w:rsid w:val="00FD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F8EFFE3-CE1B-48EC-9A06-26C9FDA5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B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985"/>
    <w:rPr>
      <w:rFonts w:ascii="Times New Roman" w:eastAsia="宋体" w:hAnsi="Times New Roman" w:cs="Times New Roman"/>
      <w:sz w:val="18"/>
      <w:szCs w:val="18"/>
    </w:rPr>
  </w:style>
  <w:style w:type="paragraph" w:styleId="a4">
    <w:name w:val="footer"/>
    <w:basedOn w:val="a"/>
    <w:link w:val="Char0"/>
    <w:uiPriority w:val="99"/>
    <w:unhideWhenUsed/>
    <w:rsid w:val="00FD3985"/>
    <w:pPr>
      <w:tabs>
        <w:tab w:val="center" w:pos="4153"/>
        <w:tab w:val="right" w:pos="8306"/>
      </w:tabs>
      <w:snapToGrid w:val="0"/>
      <w:jc w:val="left"/>
    </w:pPr>
    <w:rPr>
      <w:sz w:val="18"/>
      <w:szCs w:val="18"/>
    </w:rPr>
  </w:style>
  <w:style w:type="character" w:customStyle="1" w:styleId="Char0">
    <w:name w:val="页脚 Char"/>
    <w:basedOn w:val="a0"/>
    <w:link w:val="a4"/>
    <w:uiPriority w:val="99"/>
    <w:rsid w:val="00FD3985"/>
    <w:rPr>
      <w:rFonts w:ascii="Times New Roman" w:eastAsia="宋体" w:hAnsi="Times New Roman" w:cs="Times New Roman"/>
      <w:sz w:val="18"/>
      <w:szCs w:val="18"/>
    </w:rPr>
  </w:style>
  <w:style w:type="paragraph" w:styleId="a5">
    <w:name w:val="Balloon Text"/>
    <w:basedOn w:val="a"/>
    <w:link w:val="Char1"/>
    <w:uiPriority w:val="99"/>
    <w:semiHidden/>
    <w:unhideWhenUsed/>
    <w:rsid w:val="003D7EAE"/>
    <w:rPr>
      <w:sz w:val="18"/>
      <w:szCs w:val="18"/>
    </w:rPr>
  </w:style>
  <w:style w:type="character" w:customStyle="1" w:styleId="Char1">
    <w:name w:val="批注框文本 Char"/>
    <w:basedOn w:val="a0"/>
    <w:link w:val="a5"/>
    <w:uiPriority w:val="99"/>
    <w:semiHidden/>
    <w:rsid w:val="003D7E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gyxcn</dc:creator>
  <cp:keywords/>
  <dc:description/>
  <cp:lastModifiedBy>yongxin gu</cp:lastModifiedBy>
  <cp:revision>3</cp:revision>
  <cp:lastPrinted>2016-04-19T08:13:00Z</cp:lastPrinted>
  <dcterms:created xsi:type="dcterms:W3CDTF">2016-04-19T10:11:00Z</dcterms:created>
  <dcterms:modified xsi:type="dcterms:W3CDTF">2016-04-26T09:48:00Z</dcterms:modified>
</cp:coreProperties>
</file>